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93" w:rsidRPr="006903EF" w:rsidRDefault="001A3293" w:rsidP="001A3293">
      <w:pPr>
        <w:jc w:val="center"/>
        <w:rPr>
          <w:rFonts w:asciiTheme="minorHAnsi" w:hAnsiTheme="minorHAnsi" w:cstheme="minorHAnsi"/>
          <w:b/>
          <w:color w:val="FF0000"/>
          <w:sz w:val="32"/>
          <w:szCs w:val="32"/>
        </w:rPr>
      </w:pPr>
      <w:r w:rsidRPr="006903EF">
        <w:rPr>
          <w:rFonts w:asciiTheme="minorHAnsi" w:hAnsiTheme="minorHAnsi" w:cstheme="minorHAnsi"/>
          <w:b/>
          <w:color w:val="FF0000"/>
          <w:sz w:val="32"/>
          <w:szCs w:val="32"/>
        </w:rPr>
        <w:t>Wójt Gminy Brody</w:t>
      </w:r>
    </w:p>
    <w:p w:rsidR="001A3293" w:rsidRPr="00AC0F6F" w:rsidRDefault="005C4898" w:rsidP="001A3293">
      <w:pPr>
        <w:jc w:val="center"/>
        <w:rPr>
          <w:rFonts w:asciiTheme="minorHAnsi" w:hAnsiTheme="minorHAnsi" w:cstheme="minorHAnsi"/>
          <w:b/>
          <w:sz w:val="32"/>
          <w:szCs w:val="32"/>
        </w:rPr>
      </w:pPr>
      <w:r w:rsidRPr="00AC0F6F">
        <w:rPr>
          <w:rFonts w:asciiTheme="minorHAnsi" w:hAnsiTheme="minorHAnsi" w:cstheme="minorHAnsi"/>
          <w:b/>
          <w:sz w:val="32"/>
          <w:szCs w:val="32"/>
        </w:rPr>
        <w:t xml:space="preserve"> ogłasza </w:t>
      </w:r>
      <w:r w:rsidR="00FA2ACB">
        <w:rPr>
          <w:rFonts w:asciiTheme="minorHAnsi" w:hAnsiTheme="minorHAnsi" w:cstheme="minorHAnsi"/>
          <w:b/>
          <w:sz w:val="32"/>
          <w:szCs w:val="32"/>
        </w:rPr>
        <w:t>pierwszy</w:t>
      </w:r>
      <w:r w:rsidR="001A3293" w:rsidRPr="00AC0F6F">
        <w:rPr>
          <w:rFonts w:asciiTheme="minorHAnsi" w:hAnsiTheme="minorHAnsi" w:cstheme="minorHAnsi"/>
          <w:b/>
          <w:sz w:val="32"/>
          <w:szCs w:val="32"/>
        </w:rPr>
        <w:t xml:space="preserve"> nieograniczony przetarg ustny</w:t>
      </w:r>
      <w:r w:rsidR="001A3293" w:rsidRPr="00AC0F6F">
        <w:rPr>
          <w:rFonts w:asciiTheme="minorHAnsi" w:hAnsiTheme="minorHAnsi" w:cstheme="minorHAnsi"/>
          <w:sz w:val="32"/>
          <w:szCs w:val="32"/>
        </w:rPr>
        <w:t xml:space="preserve"> </w:t>
      </w:r>
    </w:p>
    <w:p w:rsidR="00AC0F6F" w:rsidRDefault="005C4898" w:rsidP="001A3293">
      <w:pPr>
        <w:jc w:val="center"/>
        <w:rPr>
          <w:rFonts w:asciiTheme="minorHAnsi" w:hAnsiTheme="minorHAnsi" w:cstheme="minorHAnsi"/>
          <w:sz w:val="20"/>
          <w:szCs w:val="20"/>
        </w:rPr>
      </w:pPr>
      <w:r>
        <w:rPr>
          <w:rFonts w:asciiTheme="minorHAnsi" w:hAnsiTheme="minorHAnsi" w:cstheme="minorHAnsi"/>
          <w:sz w:val="20"/>
          <w:szCs w:val="20"/>
        </w:rPr>
        <w:t>na sprzedaż następującej</w:t>
      </w:r>
      <w:r w:rsidR="001A3293" w:rsidRPr="00C810D6">
        <w:rPr>
          <w:rFonts w:asciiTheme="minorHAnsi" w:hAnsiTheme="minorHAnsi" w:cstheme="minorHAnsi"/>
          <w:sz w:val="20"/>
          <w:szCs w:val="20"/>
        </w:rPr>
        <w:t xml:space="preserve"> nieruchomości, </w:t>
      </w:r>
    </w:p>
    <w:p w:rsidR="001A3293" w:rsidRPr="00C810D6" w:rsidRDefault="005C4898" w:rsidP="00B40774">
      <w:pPr>
        <w:jc w:val="center"/>
        <w:rPr>
          <w:rFonts w:asciiTheme="minorHAnsi" w:hAnsiTheme="minorHAnsi" w:cstheme="minorHAnsi"/>
          <w:sz w:val="20"/>
          <w:szCs w:val="20"/>
        </w:rPr>
      </w:pPr>
      <w:r>
        <w:rPr>
          <w:rFonts w:asciiTheme="minorHAnsi" w:hAnsiTheme="minorHAnsi" w:cstheme="minorHAnsi"/>
          <w:sz w:val="20"/>
          <w:szCs w:val="20"/>
        </w:rPr>
        <w:t>stanowiącej</w:t>
      </w:r>
      <w:r w:rsidR="001A3293">
        <w:rPr>
          <w:rFonts w:asciiTheme="minorHAnsi" w:hAnsiTheme="minorHAnsi" w:cstheme="minorHAnsi"/>
          <w:sz w:val="20"/>
          <w:szCs w:val="20"/>
        </w:rPr>
        <w:t xml:space="preserve"> własność Gminy </w:t>
      </w:r>
      <w:r w:rsidR="001A3293" w:rsidRPr="00C810D6">
        <w:rPr>
          <w:rFonts w:asciiTheme="minorHAnsi" w:hAnsiTheme="minorHAnsi" w:cstheme="minorHAnsi"/>
          <w:sz w:val="20"/>
          <w:szCs w:val="20"/>
        </w:rPr>
        <w:t>Brody:</w:t>
      </w:r>
    </w:p>
    <w:tbl>
      <w:tblPr>
        <w:tblStyle w:val="Tabela-Siatka"/>
        <w:tblW w:w="9163" w:type="dxa"/>
        <w:tblLayout w:type="fixed"/>
        <w:tblLook w:val="04A0" w:firstRow="1" w:lastRow="0" w:firstColumn="1" w:lastColumn="0" w:noHBand="0" w:noVBand="1"/>
      </w:tblPr>
      <w:tblGrid>
        <w:gridCol w:w="817"/>
        <w:gridCol w:w="992"/>
        <w:gridCol w:w="1276"/>
        <w:gridCol w:w="1418"/>
        <w:gridCol w:w="1134"/>
        <w:gridCol w:w="1275"/>
        <w:gridCol w:w="1418"/>
        <w:gridCol w:w="833"/>
      </w:tblGrid>
      <w:tr w:rsidR="00276820" w:rsidRPr="00220E18" w:rsidTr="003D6433">
        <w:trPr>
          <w:trHeight w:val="888"/>
        </w:trPr>
        <w:tc>
          <w:tcPr>
            <w:tcW w:w="817" w:type="dxa"/>
            <w:shd w:val="clear" w:color="auto" w:fill="BFBFBF" w:themeFill="background1" w:themeFillShade="BF"/>
          </w:tcPr>
          <w:p w:rsidR="00276820" w:rsidRDefault="00276820" w:rsidP="004559DE">
            <w:pPr>
              <w:ind w:left="-142"/>
              <w:jc w:val="center"/>
              <w:rPr>
                <w:rFonts w:asciiTheme="minorHAnsi" w:hAnsiTheme="minorHAnsi" w:cstheme="minorHAnsi"/>
                <w:b/>
                <w:sz w:val="16"/>
                <w:szCs w:val="14"/>
              </w:rPr>
            </w:pPr>
          </w:p>
          <w:p w:rsidR="00276820" w:rsidRPr="00D7570D" w:rsidRDefault="00276820" w:rsidP="004559DE">
            <w:pPr>
              <w:ind w:left="-142"/>
              <w:jc w:val="center"/>
              <w:rPr>
                <w:rFonts w:asciiTheme="minorHAnsi" w:hAnsiTheme="minorHAnsi" w:cstheme="minorHAnsi"/>
                <w:b/>
                <w:sz w:val="16"/>
                <w:szCs w:val="14"/>
              </w:rPr>
            </w:pPr>
            <w:r w:rsidRPr="00D7570D">
              <w:rPr>
                <w:rFonts w:asciiTheme="minorHAnsi" w:hAnsiTheme="minorHAnsi" w:cstheme="minorHAnsi"/>
                <w:b/>
                <w:sz w:val="16"/>
                <w:szCs w:val="14"/>
              </w:rPr>
              <w:t xml:space="preserve">Księga </w:t>
            </w:r>
            <w:r>
              <w:rPr>
                <w:rFonts w:asciiTheme="minorHAnsi" w:hAnsiTheme="minorHAnsi" w:cstheme="minorHAnsi"/>
                <w:b/>
                <w:sz w:val="16"/>
                <w:szCs w:val="14"/>
              </w:rPr>
              <w:t xml:space="preserve">                                                              </w:t>
            </w:r>
            <w:r w:rsidRPr="00D7570D">
              <w:rPr>
                <w:rFonts w:asciiTheme="minorHAnsi" w:hAnsiTheme="minorHAnsi" w:cstheme="minorHAnsi"/>
                <w:b/>
                <w:sz w:val="16"/>
                <w:szCs w:val="14"/>
              </w:rPr>
              <w:t>wieczysta</w:t>
            </w:r>
          </w:p>
        </w:tc>
        <w:tc>
          <w:tcPr>
            <w:tcW w:w="992" w:type="dxa"/>
            <w:shd w:val="clear" w:color="auto" w:fill="BFBFBF" w:themeFill="background1" w:themeFillShade="BF"/>
          </w:tcPr>
          <w:p w:rsidR="00276820" w:rsidRDefault="00276820" w:rsidP="008079C6">
            <w:pPr>
              <w:jc w:val="center"/>
              <w:rPr>
                <w:rFonts w:asciiTheme="minorHAnsi" w:hAnsiTheme="minorHAnsi" w:cstheme="minorHAnsi"/>
                <w:b/>
                <w:sz w:val="16"/>
                <w:szCs w:val="14"/>
              </w:rPr>
            </w:pPr>
          </w:p>
          <w:p w:rsidR="00276820" w:rsidRPr="00D7570D" w:rsidRDefault="00276820" w:rsidP="008079C6">
            <w:pPr>
              <w:jc w:val="center"/>
              <w:rPr>
                <w:rFonts w:asciiTheme="minorHAnsi" w:hAnsiTheme="minorHAnsi" w:cstheme="minorHAnsi"/>
                <w:b/>
                <w:sz w:val="16"/>
                <w:szCs w:val="14"/>
              </w:rPr>
            </w:pPr>
            <w:r w:rsidRPr="00D7570D">
              <w:rPr>
                <w:rFonts w:asciiTheme="minorHAnsi" w:hAnsiTheme="minorHAnsi" w:cstheme="minorHAnsi"/>
                <w:b/>
                <w:sz w:val="16"/>
                <w:szCs w:val="14"/>
              </w:rPr>
              <w:t xml:space="preserve">Nr działki </w:t>
            </w:r>
          </w:p>
          <w:p w:rsidR="00276820" w:rsidRPr="00D7570D" w:rsidRDefault="00276820" w:rsidP="008079C6">
            <w:pPr>
              <w:jc w:val="center"/>
              <w:rPr>
                <w:rFonts w:asciiTheme="minorHAnsi" w:hAnsiTheme="minorHAnsi" w:cstheme="minorHAnsi"/>
                <w:b/>
                <w:sz w:val="16"/>
                <w:szCs w:val="14"/>
              </w:rPr>
            </w:pPr>
            <w:r w:rsidRPr="00D7570D">
              <w:rPr>
                <w:rFonts w:asciiTheme="minorHAnsi" w:hAnsiTheme="minorHAnsi" w:cstheme="minorHAnsi"/>
                <w:b/>
                <w:sz w:val="16"/>
                <w:szCs w:val="14"/>
              </w:rPr>
              <w:t xml:space="preserve">i miejsce </w:t>
            </w:r>
          </w:p>
          <w:p w:rsidR="00276820" w:rsidRPr="00D7570D" w:rsidRDefault="00276820" w:rsidP="008079C6">
            <w:pPr>
              <w:jc w:val="center"/>
              <w:rPr>
                <w:rFonts w:asciiTheme="minorHAnsi" w:hAnsiTheme="minorHAnsi" w:cstheme="minorHAnsi"/>
                <w:b/>
                <w:sz w:val="16"/>
                <w:szCs w:val="14"/>
              </w:rPr>
            </w:pPr>
            <w:r w:rsidRPr="00D7570D">
              <w:rPr>
                <w:rFonts w:asciiTheme="minorHAnsi" w:hAnsiTheme="minorHAnsi" w:cstheme="minorHAnsi"/>
                <w:b/>
                <w:sz w:val="16"/>
                <w:szCs w:val="14"/>
              </w:rPr>
              <w:t>położenia</w:t>
            </w:r>
          </w:p>
        </w:tc>
        <w:tc>
          <w:tcPr>
            <w:tcW w:w="1276" w:type="dxa"/>
            <w:shd w:val="clear" w:color="auto" w:fill="BFBFBF" w:themeFill="background1" w:themeFillShade="BF"/>
          </w:tcPr>
          <w:p w:rsidR="00276820" w:rsidRDefault="00276820" w:rsidP="008079C6">
            <w:pPr>
              <w:jc w:val="center"/>
              <w:rPr>
                <w:rFonts w:asciiTheme="minorHAnsi" w:hAnsiTheme="minorHAnsi" w:cstheme="minorHAnsi"/>
                <w:b/>
                <w:sz w:val="16"/>
                <w:szCs w:val="14"/>
              </w:rPr>
            </w:pPr>
          </w:p>
          <w:p w:rsidR="00276820" w:rsidRPr="00D7570D" w:rsidRDefault="00276820" w:rsidP="008079C6">
            <w:pPr>
              <w:jc w:val="center"/>
              <w:rPr>
                <w:rFonts w:asciiTheme="minorHAnsi" w:hAnsiTheme="minorHAnsi" w:cstheme="minorHAnsi"/>
                <w:b/>
                <w:sz w:val="16"/>
                <w:szCs w:val="14"/>
              </w:rPr>
            </w:pPr>
            <w:r w:rsidRPr="00D7570D">
              <w:rPr>
                <w:rFonts w:asciiTheme="minorHAnsi" w:hAnsiTheme="minorHAnsi" w:cstheme="minorHAnsi"/>
                <w:b/>
                <w:sz w:val="16"/>
                <w:szCs w:val="14"/>
              </w:rPr>
              <w:t xml:space="preserve">Pow. </w:t>
            </w:r>
          </w:p>
          <w:p w:rsidR="00276820" w:rsidRPr="00D7570D" w:rsidRDefault="00276820" w:rsidP="003D6433">
            <w:pPr>
              <w:jc w:val="center"/>
              <w:rPr>
                <w:rFonts w:asciiTheme="minorHAnsi" w:hAnsiTheme="minorHAnsi" w:cstheme="minorHAnsi"/>
                <w:b/>
                <w:sz w:val="16"/>
                <w:szCs w:val="14"/>
              </w:rPr>
            </w:pPr>
            <w:r w:rsidRPr="00D7570D">
              <w:rPr>
                <w:rFonts w:asciiTheme="minorHAnsi" w:hAnsiTheme="minorHAnsi" w:cstheme="minorHAnsi"/>
                <w:b/>
                <w:sz w:val="16"/>
                <w:szCs w:val="14"/>
              </w:rPr>
              <w:t>w ha</w:t>
            </w:r>
          </w:p>
        </w:tc>
        <w:tc>
          <w:tcPr>
            <w:tcW w:w="1418" w:type="dxa"/>
            <w:shd w:val="clear" w:color="auto" w:fill="BFBFBF" w:themeFill="background1" w:themeFillShade="BF"/>
          </w:tcPr>
          <w:p w:rsidR="00276820" w:rsidRDefault="00276820" w:rsidP="008079C6">
            <w:pPr>
              <w:jc w:val="center"/>
              <w:rPr>
                <w:rFonts w:asciiTheme="minorHAnsi" w:hAnsiTheme="minorHAnsi" w:cstheme="minorHAnsi"/>
                <w:b/>
                <w:sz w:val="16"/>
                <w:szCs w:val="14"/>
              </w:rPr>
            </w:pPr>
          </w:p>
          <w:p w:rsidR="00276820" w:rsidRPr="00D7570D" w:rsidRDefault="00276820" w:rsidP="008079C6">
            <w:pPr>
              <w:jc w:val="center"/>
              <w:rPr>
                <w:rFonts w:asciiTheme="minorHAnsi" w:hAnsiTheme="minorHAnsi" w:cstheme="minorHAnsi"/>
                <w:b/>
                <w:sz w:val="16"/>
                <w:szCs w:val="14"/>
              </w:rPr>
            </w:pPr>
            <w:r w:rsidRPr="00D7570D">
              <w:rPr>
                <w:rFonts w:asciiTheme="minorHAnsi" w:hAnsiTheme="minorHAnsi" w:cstheme="minorHAnsi"/>
                <w:b/>
                <w:sz w:val="16"/>
                <w:szCs w:val="14"/>
              </w:rPr>
              <w:t xml:space="preserve">Cena wywoławcza </w:t>
            </w:r>
          </w:p>
          <w:p w:rsidR="00276820" w:rsidRPr="00D7570D" w:rsidRDefault="00276820" w:rsidP="008079C6">
            <w:pPr>
              <w:jc w:val="center"/>
              <w:rPr>
                <w:rFonts w:asciiTheme="minorHAnsi" w:hAnsiTheme="minorHAnsi" w:cstheme="minorHAnsi"/>
                <w:b/>
                <w:sz w:val="16"/>
                <w:szCs w:val="14"/>
              </w:rPr>
            </w:pPr>
            <w:r w:rsidRPr="00D7570D">
              <w:rPr>
                <w:rFonts w:asciiTheme="minorHAnsi" w:hAnsiTheme="minorHAnsi" w:cstheme="minorHAnsi"/>
                <w:b/>
                <w:sz w:val="16"/>
                <w:szCs w:val="14"/>
              </w:rPr>
              <w:t>w zł</w:t>
            </w:r>
          </w:p>
        </w:tc>
        <w:tc>
          <w:tcPr>
            <w:tcW w:w="1134" w:type="dxa"/>
            <w:shd w:val="clear" w:color="auto" w:fill="BFBFBF" w:themeFill="background1" w:themeFillShade="BF"/>
          </w:tcPr>
          <w:p w:rsidR="00276820" w:rsidRDefault="00276820" w:rsidP="008079C6">
            <w:pPr>
              <w:jc w:val="center"/>
              <w:rPr>
                <w:rFonts w:asciiTheme="minorHAnsi" w:hAnsiTheme="minorHAnsi" w:cstheme="minorHAnsi"/>
                <w:b/>
                <w:sz w:val="16"/>
                <w:szCs w:val="14"/>
              </w:rPr>
            </w:pPr>
          </w:p>
          <w:p w:rsidR="00276820" w:rsidRPr="00D7570D" w:rsidRDefault="00276820" w:rsidP="008079C6">
            <w:pPr>
              <w:jc w:val="center"/>
              <w:rPr>
                <w:rFonts w:asciiTheme="minorHAnsi" w:hAnsiTheme="minorHAnsi" w:cstheme="minorHAnsi"/>
                <w:b/>
                <w:sz w:val="16"/>
                <w:szCs w:val="14"/>
              </w:rPr>
            </w:pPr>
            <w:r w:rsidRPr="00D7570D">
              <w:rPr>
                <w:rFonts w:asciiTheme="minorHAnsi" w:hAnsiTheme="minorHAnsi" w:cstheme="minorHAnsi"/>
                <w:b/>
                <w:sz w:val="16"/>
                <w:szCs w:val="14"/>
              </w:rPr>
              <w:t xml:space="preserve">Wadium </w:t>
            </w:r>
          </w:p>
          <w:p w:rsidR="00276820" w:rsidRPr="00D7570D" w:rsidRDefault="00276820" w:rsidP="008079C6">
            <w:pPr>
              <w:jc w:val="center"/>
              <w:rPr>
                <w:rFonts w:asciiTheme="minorHAnsi" w:hAnsiTheme="minorHAnsi" w:cstheme="minorHAnsi"/>
                <w:b/>
                <w:sz w:val="16"/>
                <w:szCs w:val="14"/>
              </w:rPr>
            </w:pPr>
            <w:r w:rsidRPr="00D7570D">
              <w:rPr>
                <w:rFonts w:asciiTheme="minorHAnsi" w:hAnsiTheme="minorHAnsi" w:cstheme="minorHAnsi"/>
                <w:b/>
                <w:sz w:val="16"/>
                <w:szCs w:val="14"/>
              </w:rPr>
              <w:t>w zł</w:t>
            </w:r>
          </w:p>
        </w:tc>
        <w:tc>
          <w:tcPr>
            <w:tcW w:w="1275" w:type="dxa"/>
            <w:shd w:val="clear" w:color="auto" w:fill="BFBFBF" w:themeFill="background1" w:themeFillShade="BF"/>
          </w:tcPr>
          <w:p w:rsidR="00276820" w:rsidRDefault="00276820" w:rsidP="008079C6">
            <w:pPr>
              <w:jc w:val="center"/>
              <w:rPr>
                <w:rFonts w:asciiTheme="minorHAnsi" w:hAnsiTheme="minorHAnsi" w:cstheme="minorHAnsi"/>
                <w:b/>
                <w:sz w:val="16"/>
                <w:szCs w:val="14"/>
              </w:rPr>
            </w:pPr>
          </w:p>
          <w:p w:rsidR="00276820" w:rsidRPr="00D7570D" w:rsidRDefault="00276820" w:rsidP="008079C6">
            <w:pPr>
              <w:jc w:val="center"/>
              <w:rPr>
                <w:rFonts w:asciiTheme="minorHAnsi" w:hAnsiTheme="minorHAnsi" w:cstheme="minorHAnsi"/>
                <w:b/>
                <w:sz w:val="16"/>
                <w:szCs w:val="14"/>
              </w:rPr>
            </w:pPr>
            <w:r w:rsidRPr="00D7570D">
              <w:rPr>
                <w:rFonts w:asciiTheme="minorHAnsi" w:hAnsiTheme="minorHAnsi" w:cstheme="minorHAnsi"/>
                <w:b/>
                <w:sz w:val="16"/>
                <w:szCs w:val="14"/>
              </w:rPr>
              <w:t>Termin wpłacenia wadium</w:t>
            </w:r>
          </w:p>
        </w:tc>
        <w:tc>
          <w:tcPr>
            <w:tcW w:w="1418" w:type="dxa"/>
            <w:shd w:val="clear" w:color="auto" w:fill="BFBFBF" w:themeFill="background1" w:themeFillShade="BF"/>
          </w:tcPr>
          <w:p w:rsidR="00276820" w:rsidRDefault="00276820" w:rsidP="009B3EF3">
            <w:pPr>
              <w:ind w:left="-108"/>
              <w:jc w:val="center"/>
              <w:rPr>
                <w:rFonts w:asciiTheme="minorHAnsi" w:hAnsiTheme="minorHAnsi" w:cstheme="minorHAnsi"/>
                <w:b/>
                <w:sz w:val="16"/>
                <w:szCs w:val="14"/>
              </w:rPr>
            </w:pPr>
          </w:p>
          <w:p w:rsidR="00276820" w:rsidRPr="00D7570D" w:rsidRDefault="00276820" w:rsidP="009B3EF3">
            <w:pPr>
              <w:ind w:left="-108"/>
              <w:jc w:val="center"/>
              <w:rPr>
                <w:rFonts w:asciiTheme="minorHAnsi" w:hAnsiTheme="minorHAnsi" w:cstheme="minorHAnsi"/>
                <w:b/>
                <w:sz w:val="16"/>
                <w:szCs w:val="14"/>
              </w:rPr>
            </w:pPr>
            <w:r w:rsidRPr="00D7570D">
              <w:rPr>
                <w:rFonts w:asciiTheme="minorHAnsi" w:hAnsiTheme="minorHAnsi" w:cstheme="minorHAnsi"/>
                <w:b/>
                <w:sz w:val="16"/>
                <w:szCs w:val="14"/>
              </w:rPr>
              <w:t>Termin przetargu</w:t>
            </w:r>
          </w:p>
        </w:tc>
        <w:tc>
          <w:tcPr>
            <w:tcW w:w="833" w:type="dxa"/>
            <w:shd w:val="clear" w:color="auto" w:fill="BFBFBF" w:themeFill="background1" w:themeFillShade="BF"/>
          </w:tcPr>
          <w:p w:rsidR="00276820" w:rsidRDefault="00276820" w:rsidP="00D816A0">
            <w:pPr>
              <w:ind w:left="-108"/>
              <w:jc w:val="center"/>
              <w:rPr>
                <w:rFonts w:asciiTheme="minorHAnsi" w:hAnsiTheme="minorHAnsi" w:cstheme="minorHAnsi"/>
                <w:b/>
                <w:sz w:val="16"/>
                <w:szCs w:val="14"/>
              </w:rPr>
            </w:pPr>
          </w:p>
          <w:p w:rsidR="00276820" w:rsidRPr="00D7570D" w:rsidRDefault="00276820" w:rsidP="00D816A0">
            <w:pPr>
              <w:ind w:left="-108"/>
              <w:jc w:val="center"/>
              <w:rPr>
                <w:rFonts w:asciiTheme="minorHAnsi" w:hAnsiTheme="minorHAnsi" w:cstheme="minorHAnsi"/>
                <w:b/>
                <w:sz w:val="16"/>
                <w:szCs w:val="14"/>
              </w:rPr>
            </w:pPr>
            <w:r w:rsidRPr="00D7570D">
              <w:rPr>
                <w:rFonts w:asciiTheme="minorHAnsi" w:hAnsiTheme="minorHAnsi" w:cstheme="minorHAnsi"/>
                <w:b/>
                <w:sz w:val="16"/>
                <w:szCs w:val="14"/>
              </w:rPr>
              <w:t>Godzina przetargu</w:t>
            </w:r>
          </w:p>
        </w:tc>
      </w:tr>
      <w:tr w:rsidR="00276820" w:rsidRPr="00483093" w:rsidTr="00AE24CA">
        <w:trPr>
          <w:trHeight w:val="774"/>
        </w:trPr>
        <w:tc>
          <w:tcPr>
            <w:tcW w:w="817" w:type="dxa"/>
            <w:vAlign w:val="center"/>
          </w:tcPr>
          <w:p w:rsidR="00276820" w:rsidRPr="00D7570D" w:rsidRDefault="00276820" w:rsidP="00AE24CA">
            <w:pPr>
              <w:jc w:val="center"/>
              <w:rPr>
                <w:rFonts w:asciiTheme="minorHAnsi" w:hAnsiTheme="minorHAnsi" w:cstheme="minorHAnsi"/>
                <w:b/>
                <w:sz w:val="16"/>
                <w:szCs w:val="16"/>
              </w:rPr>
            </w:pPr>
            <w:r w:rsidRPr="00D7570D">
              <w:rPr>
                <w:rFonts w:asciiTheme="minorHAnsi" w:hAnsiTheme="minorHAnsi" w:cstheme="minorHAnsi"/>
                <w:b/>
                <w:sz w:val="16"/>
                <w:szCs w:val="16"/>
              </w:rPr>
              <w:t>ZG1R/</w:t>
            </w:r>
          </w:p>
          <w:p w:rsidR="00276820" w:rsidRPr="00D7570D" w:rsidRDefault="00276820" w:rsidP="00AE24CA">
            <w:pPr>
              <w:jc w:val="center"/>
              <w:rPr>
                <w:rFonts w:asciiTheme="minorHAnsi" w:hAnsiTheme="minorHAnsi" w:cstheme="minorHAnsi"/>
                <w:b/>
                <w:sz w:val="16"/>
                <w:szCs w:val="16"/>
              </w:rPr>
            </w:pPr>
            <w:r w:rsidRPr="00D7570D">
              <w:rPr>
                <w:rFonts w:asciiTheme="minorHAnsi" w:hAnsiTheme="minorHAnsi" w:cstheme="minorHAnsi"/>
                <w:b/>
                <w:sz w:val="16"/>
                <w:szCs w:val="16"/>
              </w:rPr>
              <w:t>000217</w:t>
            </w:r>
          </w:p>
          <w:p w:rsidR="00276820" w:rsidRPr="00D7570D" w:rsidRDefault="00276820" w:rsidP="00AE24CA">
            <w:pPr>
              <w:jc w:val="center"/>
              <w:rPr>
                <w:rFonts w:asciiTheme="minorHAnsi" w:hAnsiTheme="minorHAnsi" w:cstheme="minorHAnsi"/>
                <w:b/>
                <w:sz w:val="16"/>
                <w:szCs w:val="16"/>
              </w:rPr>
            </w:pPr>
            <w:r w:rsidRPr="00D7570D">
              <w:rPr>
                <w:rFonts w:asciiTheme="minorHAnsi" w:hAnsiTheme="minorHAnsi" w:cstheme="minorHAnsi"/>
                <w:b/>
                <w:sz w:val="16"/>
                <w:szCs w:val="16"/>
              </w:rPr>
              <w:t>36/9</w:t>
            </w:r>
          </w:p>
        </w:tc>
        <w:tc>
          <w:tcPr>
            <w:tcW w:w="992" w:type="dxa"/>
            <w:vAlign w:val="center"/>
          </w:tcPr>
          <w:p w:rsidR="00276820" w:rsidRPr="00D7570D" w:rsidRDefault="00276820" w:rsidP="00AE24CA">
            <w:pPr>
              <w:jc w:val="center"/>
              <w:rPr>
                <w:rFonts w:asciiTheme="minorHAnsi" w:hAnsiTheme="minorHAnsi" w:cstheme="minorHAnsi"/>
                <w:b/>
                <w:sz w:val="16"/>
                <w:szCs w:val="16"/>
              </w:rPr>
            </w:pPr>
            <w:r w:rsidRPr="00D7570D">
              <w:rPr>
                <w:rFonts w:asciiTheme="minorHAnsi" w:hAnsiTheme="minorHAnsi" w:cstheme="minorHAnsi"/>
                <w:b/>
                <w:sz w:val="16"/>
                <w:szCs w:val="16"/>
              </w:rPr>
              <w:t>923/2</w:t>
            </w:r>
          </w:p>
          <w:p w:rsidR="00276820" w:rsidRPr="00D7570D" w:rsidRDefault="00276820" w:rsidP="00AE24CA">
            <w:pPr>
              <w:jc w:val="center"/>
              <w:rPr>
                <w:rFonts w:asciiTheme="minorHAnsi" w:hAnsiTheme="minorHAnsi" w:cstheme="minorHAnsi"/>
                <w:b/>
                <w:sz w:val="16"/>
                <w:szCs w:val="16"/>
              </w:rPr>
            </w:pPr>
            <w:r w:rsidRPr="00D7570D">
              <w:rPr>
                <w:rFonts w:asciiTheme="minorHAnsi" w:hAnsiTheme="minorHAnsi" w:cstheme="minorHAnsi"/>
                <w:b/>
                <w:sz w:val="16"/>
                <w:szCs w:val="16"/>
              </w:rPr>
              <w:t>Jeziory Wysokie</w:t>
            </w:r>
          </w:p>
        </w:tc>
        <w:tc>
          <w:tcPr>
            <w:tcW w:w="1276" w:type="dxa"/>
            <w:vAlign w:val="center"/>
          </w:tcPr>
          <w:p w:rsidR="00276820" w:rsidRPr="00D7570D" w:rsidRDefault="00276820" w:rsidP="00AE24CA">
            <w:pPr>
              <w:jc w:val="center"/>
              <w:rPr>
                <w:rFonts w:asciiTheme="minorHAnsi" w:hAnsiTheme="minorHAnsi" w:cstheme="minorHAnsi"/>
                <w:sz w:val="16"/>
                <w:szCs w:val="12"/>
              </w:rPr>
            </w:pPr>
            <w:r w:rsidRPr="00D7570D">
              <w:rPr>
                <w:rFonts w:asciiTheme="minorHAnsi" w:hAnsiTheme="minorHAnsi" w:cstheme="minorHAnsi"/>
                <w:b/>
                <w:sz w:val="16"/>
                <w:szCs w:val="16"/>
              </w:rPr>
              <w:t>3,8304</w:t>
            </w:r>
          </w:p>
        </w:tc>
        <w:tc>
          <w:tcPr>
            <w:tcW w:w="1418" w:type="dxa"/>
            <w:vAlign w:val="center"/>
          </w:tcPr>
          <w:p w:rsidR="00276820" w:rsidRPr="00D7570D" w:rsidRDefault="00276820" w:rsidP="00AE24CA">
            <w:pPr>
              <w:jc w:val="center"/>
              <w:rPr>
                <w:rFonts w:asciiTheme="minorHAnsi" w:hAnsiTheme="minorHAnsi" w:cstheme="minorHAnsi"/>
                <w:b/>
                <w:sz w:val="16"/>
                <w:szCs w:val="16"/>
              </w:rPr>
            </w:pPr>
            <w:r w:rsidRPr="00D7570D">
              <w:rPr>
                <w:rFonts w:asciiTheme="minorHAnsi" w:hAnsiTheme="minorHAnsi" w:cstheme="minorHAnsi"/>
                <w:b/>
                <w:sz w:val="16"/>
                <w:szCs w:val="16"/>
              </w:rPr>
              <w:t>291.000</w:t>
            </w:r>
          </w:p>
        </w:tc>
        <w:tc>
          <w:tcPr>
            <w:tcW w:w="1134" w:type="dxa"/>
            <w:vAlign w:val="center"/>
          </w:tcPr>
          <w:p w:rsidR="00276820" w:rsidRPr="00D7570D" w:rsidRDefault="00276820" w:rsidP="00AE24CA">
            <w:pPr>
              <w:jc w:val="center"/>
              <w:rPr>
                <w:rFonts w:asciiTheme="minorHAnsi" w:hAnsiTheme="minorHAnsi" w:cstheme="minorHAnsi"/>
                <w:b/>
                <w:sz w:val="16"/>
                <w:szCs w:val="16"/>
              </w:rPr>
            </w:pPr>
            <w:r w:rsidRPr="00D7570D">
              <w:rPr>
                <w:rFonts w:asciiTheme="minorHAnsi" w:hAnsiTheme="minorHAnsi" w:cstheme="minorHAnsi"/>
                <w:b/>
                <w:sz w:val="16"/>
                <w:szCs w:val="16"/>
              </w:rPr>
              <w:t>29.100</w:t>
            </w:r>
          </w:p>
        </w:tc>
        <w:tc>
          <w:tcPr>
            <w:tcW w:w="1275" w:type="dxa"/>
            <w:vAlign w:val="center"/>
          </w:tcPr>
          <w:p w:rsidR="00276820" w:rsidRPr="00C05A06" w:rsidRDefault="00276820" w:rsidP="00AE24CA">
            <w:pPr>
              <w:jc w:val="center"/>
              <w:rPr>
                <w:rFonts w:asciiTheme="minorHAnsi" w:hAnsiTheme="minorHAnsi" w:cstheme="minorHAnsi"/>
                <w:b/>
                <w:color w:val="FF0000"/>
                <w:sz w:val="22"/>
                <w:szCs w:val="16"/>
              </w:rPr>
            </w:pPr>
            <w:r w:rsidRPr="00C05A06">
              <w:rPr>
                <w:rFonts w:asciiTheme="minorHAnsi" w:hAnsiTheme="minorHAnsi" w:cstheme="minorHAnsi"/>
                <w:b/>
                <w:color w:val="FF0000"/>
                <w:sz w:val="22"/>
                <w:szCs w:val="16"/>
              </w:rPr>
              <w:t>06-08-2014</w:t>
            </w:r>
          </w:p>
        </w:tc>
        <w:tc>
          <w:tcPr>
            <w:tcW w:w="1418" w:type="dxa"/>
            <w:vAlign w:val="center"/>
          </w:tcPr>
          <w:p w:rsidR="00276820" w:rsidRPr="00C05A06" w:rsidRDefault="00276820" w:rsidP="00AE24CA">
            <w:pPr>
              <w:jc w:val="center"/>
              <w:rPr>
                <w:rFonts w:asciiTheme="minorHAnsi" w:hAnsiTheme="minorHAnsi" w:cstheme="minorHAnsi"/>
                <w:b/>
                <w:color w:val="FF0000"/>
                <w:sz w:val="22"/>
                <w:szCs w:val="16"/>
              </w:rPr>
            </w:pPr>
            <w:r w:rsidRPr="00C05A06">
              <w:rPr>
                <w:rFonts w:asciiTheme="minorHAnsi" w:hAnsiTheme="minorHAnsi" w:cstheme="minorHAnsi"/>
                <w:b/>
                <w:color w:val="FF0000"/>
                <w:sz w:val="22"/>
                <w:szCs w:val="16"/>
              </w:rPr>
              <w:t>11-08-2014</w:t>
            </w:r>
          </w:p>
        </w:tc>
        <w:tc>
          <w:tcPr>
            <w:tcW w:w="833" w:type="dxa"/>
            <w:vAlign w:val="center"/>
          </w:tcPr>
          <w:p w:rsidR="00276820" w:rsidRPr="00D7570D" w:rsidRDefault="00276820" w:rsidP="00AE24CA">
            <w:pPr>
              <w:jc w:val="center"/>
              <w:rPr>
                <w:rFonts w:asciiTheme="minorHAnsi" w:hAnsiTheme="minorHAnsi" w:cstheme="minorHAnsi"/>
                <w:b/>
                <w:sz w:val="16"/>
                <w:szCs w:val="16"/>
              </w:rPr>
            </w:pPr>
            <w:r>
              <w:rPr>
                <w:rFonts w:asciiTheme="minorHAnsi" w:hAnsiTheme="minorHAnsi" w:cstheme="minorHAnsi"/>
                <w:b/>
                <w:sz w:val="16"/>
                <w:szCs w:val="16"/>
              </w:rPr>
              <w:t>9:00</w:t>
            </w:r>
          </w:p>
        </w:tc>
      </w:tr>
      <w:tr w:rsidR="00276820" w:rsidRPr="00483093" w:rsidTr="00B40774">
        <w:trPr>
          <w:trHeight w:val="300"/>
        </w:trPr>
        <w:tc>
          <w:tcPr>
            <w:tcW w:w="9163" w:type="dxa"/>
            <w:gridSpan w:val="8"/>
            <w:shd w:val="clear" w:color="auto" w:fill="BFBFBF" w:themeFill="background1" w:themeFillShade="BF"/>
            <w:vAlign w:val="center"/>
          </w:tcPr>
          <w:p w:rsidR="00276820" w:rsidRPr="00D7570D" w:rsidRDefault="00276820" w:rsidP="00AE24CA">
            <w:pPr>
              <w:jc w:val="center"/>
              <w:rPr>
                <w:rFonts w:asciiTheme="minorHAnsi" w:hAnsiTheme="minorHAnsi" w:cstheme="minorHAnsi"/>
                <w:b/>
                <w:sz w:val="16"/>
                <w:szCs w:val="16"/>
              </w:rPr>
            </w:pPr>
            <w:r w:rsidRPr="00D7570D">
              <w:rPr>
                <w:rFonts w:asciiTheme="minorHAnsi" w:hAnsiTheme="minorHAnsi" w:cstheme="minorHAnsi"/>
                <w:b/>
                <w:sz w:val="16"/>
                <w:szCs w:val="14"/>
              </w:rPr>
              <w:t>Opis nieruchomości</w:t>
            </w:r>
          </w:p>
        </w:tc>
      </w:tr>
      <w:tr w:rsidR="00276820" w:rsidRPr="00483093" w:rsidTr="003D63BC">
        <w:trPr>
          <w:trHeight w:val="774"/>
        </w:trPr>
        <w:tc>
          <w:tcPr>
            <w:tcW w:w="9163" w:type="dxa"/>
            <w:gridSpan w:val="8"/>
          </w:tcPr>
          <w:p w:rsidR="00276820" w:rsidRPr="00D7570D" w:rsidRDefault="00276820" w:rsidP="00276820">
            <w:pPr>
              <w:rPr>
                <w:rFonts w:asciiTheme="minorHAnsi" w:hAnsiTheme="minorHAnsi" w:cstheme="minorHAnsi"/>
                <w:sz w:val="16"/>
                <w:szCs w:val="12"/>
              </w:rPr>
            </w:pPr>
            <w:r w:rsidRPr="00D7570D">
              <w:rPr>
                <w:rFonts w:asciiTheme="minorHAnsi" w:hAnsiTheme="minorHAnsi" w:cstheme="minorHAnsi"/>
                <w:sz w:val="16"/>
                <w:szCs w:val="12"/>
              </w:rPr>
              <w:t>Nieruchomość stanowi zgodnie z wypisem z rejestru gruntów:</w:t>
            </w:r>
          </w:p>
          <w:p w:rsidR="00276820" w:rsidRPr="00D7570D" w:rsidRDefault="00276820" w:rsidP="00276820">
            <w:pPr>
              <w:rPr>
                <w:rFonts w:asciiTheme="minorHAnsi" w:hAnsiTheme="minorHAnsi" w:cstheme="minorHAnsi"/>
                <w:sz w:val="16"/>
                <w:szCs w:val="12"/>
              </w:rPr>
            </w:pPr>
            <w:r w:rsidRPr="00D7570D">
              <w:rPr>
                <w:rFonts w:asciiTheme="minorHAnsi" w:hAnsiTheme="minorHAnsi" w:cstheme="minorHAnsi"/>
                <w:sz w:val="16"/>
                <w:szCs w:val="12"/>
              </w:rPr>
              <w:t xml:space="preserve">- tereny </w:t>
            </w:r>
            <w:proofErr w:type="spellStart"/>
            <w:r w:rsidRPr="00D7570D">
              <w:rPr>
                <w:rFonts w:asciiTheme="minorHAnsi" w:hAnsiTheme="minorHAnsi" w:cstheme="minorHAnsi"/>
                <w:sz w:val="16"/>
                <w:szCs w:val="12"/>
              </w:rPr>
              <w:t>rekreacyjno</w:t>
            </w:r>
            <w:proofErr w:type="spellEnd"/>
            <w:r w:rsidRPr="00D7570D">
              <w:rPr>
                <w:rFonts w:asciiTheme="minorHAnsi" w:hAnsiTheme="minorHAnsi" w:cstheme="minorHAnsi"/>
                <w:sz w:val="16"/>
                <w:szCs w:val="12"/>
              </w:rPr>
              <w:t xml:space="preserve"> –wypoczynkowe (</w:t>
            </w:r>
            <w:proofErr w:type="spellStart"/>
            <w:r w:rsidRPr="00D7570D">
              <w:rPr>
                <w:rFonts w:asciiTheme="minorHAnsi" w:hAnsiTheme="minorHAnsi" w:cstheme="minorHAnsi"/>
                <w:sz w:val="16"/>
                <w:szCs w:val="12"/>
              </w:rPr>
              <w:t>Bz</w:t>
            </w:r>
            <w:proofErr w:type="spellEnd"/>
            <w:r w:rsidRPr="00D7570D">
              <w:rPr>
                <w:rFonts w:asciiTheme="minorHAnsi" w:hAnsiTheme="minorHAnsi" w:cstheme="minorHAnsi"/>
                <w:sz w:val="16"/>
                <w:szCs w:val="12"/>
              </w:rPr>
              <w:t>) o pow. 0,0962 ha</w:t>
            </w:r>
          </w:p>
          <w:p w:rsidR="00276820" w:rsidRPr="00D7570D" w:rsidRDefault="00276820" w:rsidP="00276820">
            <w:pPr>
              <w:rPr>
                <w:rFonts w:asciiTheme="minorHAnsi" w:hAnsiTheme="minorHAnsi" w:cstheme="minorHAnsi"/>
                <w:sz w:val="16"/>
                <w:szCs w:val="12"/>
              </w:rPr>
            </w:pPr>
            <w:r w:rsidRPr="00D7570D">
              <w:rPr>
                <w:rFonts w:asciiTheme="minorHAnsi" w:hAnsiTheme="minorHAnsi" w:cstheme="minorHAnsi"/>
                <w:sz w:val="16"/>
                <w:szCs w:val="12"/>
              </w:rPr>
              <w:t>- las (</w:t>
            </w:r>
            <w:proofErr w:type="spellStart"/>
            <w:r w:rsidRPr="00D7570D">
              <w:rPr>
                <w:rFonts w:asciiTheme="minorHAnsi" w:hAnsiTheme="minorHAnsi" w:cstheme="minorHAnsi"/>
                <w:sz w:val="16"/>
                <w:szCs w:val="12"/>
              </w:rPr>
              <w:t>Ls</w:t>
            </w:r>
            <w:proofErr w:type="spellEnd"/>
            <w:r w:rsidRPr="00D7570D">
              <w:rPr>
                <w:rFonts w:asciiTheme="minorHAnsi" w:hAnsiTheme="minorHAnsi" w:cstheme="minorHAnsi"/>
                <w:sz w:val="16"/>
                <w:szCs w:val="12"/>
              </w:rPr>
              <w:t>) o powierzchni 3,7342 ha.</w:t>
            </w:r>
          </w:p>
          <w:p w:rsidR="00276820" w:rsidRPr="00D7570D" w:rsidRDefault="00276820" w:rsidP="00276820">
            <w:pPr>
              <w:rPr>
                <w:rFonts w:asciiTheme="minorHAnsi" w:hAnsiTheme="minorHAnsi" w:cstheme="minorHAnsi"/>
                <w:sz w:val="16"/>
                <w:szCs w:val="12"/>
              </w:rPr>
            </w:pPr>
            <w:r w:rsidRPr="00D7570D">
              <w:rPr>
                <w:rFonts w:asciiTheme="minorHAnsi" w:hAnsiTheme="minorHAnsi" w:cstheme="minorHAnsi"/>
                <w:sz w:val="16"/>
                <w:szCs w:val="12"/>
              </w:rPr>
              <w:t xml:space="preserve">Działka prawie w całości zalesiona i zadrzewiona, o kształcie zbliżonym do trójkąta. Na nieruchomości znajduje się 7 obiektów kubaturowych </w:t>
            </w:r>
            <w:proofErr w:type="spellStart"/>
            <w:r w:rsidRPr="00D7570D">
              <w:rPr>
                <w:rFonts w:asciiTheme="minorHAnsi" w:hAnsiTheme="minorHAnsi" w:cstheme="minorHAnsi"/>
                <w:sz w:val="16"/>
                <w:szCs w:val="12"/>
              </w:rPr>
              <w:t>pomilitarnych</w:t>
            </w:r>
            <w:proofErr w:type="spellEnd"/>
            <w:r w:rsidRPr="00D7570D">
              <w:rPr>
                <w:rFonts w:asciiTheme="minorHAnsi" w:hAnsiTheme="minorHAnsi" w:cstheme="minorHAnsi"/>
                <w:sz w:val="16"/>
                <w:szCs w:val="12"/>
              </w:rPr>
              <w:t xml:space="preserve"> (nr: 383, 384, 385, 386,387, 389, 390)   w tym 6 obiektów nadających się do zagospodarowania po wykonaniu remontu kapitalnego  o łącznej powierzchni użytkowej: 428,10 m2 (pow. bez obiektu nr 387).</w:t>
            </w:r>
          </w:p>
          <w:p w:rsidR="00276820" w:rsidRPr="00C6003D" w:rsidRDefault="00276820" w:rsidP="003D6433">
            <w:pPr>
              <w:rPr>
                <w:rFonts w:asciiTheme="minorHAnsi" w:hAnsiTheme="minorHAnsi" w:cstheme="minorHAnsi"/>
                <w:sz w:val="16"/>
                <w:szCs w:val="12"/>
              </w:rPr>
            </w:pPr>
            <w:r w:rsidRPr="00D7570D">
              <w:rPr>
                <w:rFonts w:asciiTheme="minorHAnsi" w:hAnsiTheme="minorHAnsi" w:cstheme="minorHAnsi"/>
                <w:sz w:val="16"/>
                <w:szCs w:val="12"/>
              </w:rPr>
              <w:t>Wszystkie obiekty i budynki są bez instalacji, bez okien i drzwi, bez wyposażenia, pustostany, częściowo poro</w:t>
            </w:r>
            <w:r>
              <w:rPr>
                <w:rFonts w:asciiTheme="minorHAnsi" w:hAnsiTheme="minorHAnsi" w:cstheme="minorHAnsi"/>
                <w:sz w:val="16"/>
                <w:szCs w:val="12"/>
              </w:rPr>
              <w:t>śnięte już drzewami i krzewami.</w:t>
            </w:r>
            <w:r w:rsidR="00C6003D">
              <w:rPr>
                <w:rFonts w:asciiTheme="minorHAnsi" w:hAnsiTheme="minorHAnsi" w:cstheme="minorHAnsi"/>
                <w:sz w:val="16"/>
                <w:szCs w:val="12"/>
              </w:rPr>
              <w:t xml:space="preserve"> </w:t>
            </w:r>
            <w:bookmarkStart w:id="0" w:name="_GoBack"/>
            <w:bookmarkEnd w:id="0"/>
            <w:r w:rsidRPr="00D7570D">
              <w:rPr>
                <w:rFonts w:asciiTheme="minorHAnsi" w:hAnsiTheme="minorHAnsi" w:cstheme="minorHAnsi"/>
                <w:sz w:val="16"/>
                <w:szCs w:val="12"/>
              </w:rPr>
              <w:t>Nieruchomość jest wolna od obciążeń i zobowiązań</w:t>
            </w:r>
            <w:r>
              <w:rPr>
                <w:rFonts w:asciiTheme="minorHAnsi" w:hAnsiTheme="minorHAnsi" w:cstheme="minorHAnsi"/>
                <w:sz w:val="16"/>
                <w:szCs w:val="12"/>
              </w:rPr>
              <w:t>.</w:t>
            </w:r>
          </w:p>
        </w:tc>
      </w:tr>
    </w:tbl>
    <w:p w:rsidR="001A3293" w:rsidRPr="005602F0" w:rsidRDefault="001A3293" w:rsidP="001A3293">
      <w:pPr>
        <w:jc w:val="both"/>
        <w:rPr>
          <w:rFonts w:asciiTheme="minorHAnsi" w:hAnsiTheme="minorHAnsi" w:cstheme="minorHAnsi"/>
          <w:sz w:val="18"/>
          <w:szCs w:val="18"/>
        </w:rPr>
      </w:pPr>
      <w:r w:rsidRPr="00FE1573">
        <w:rPr>
          <w:rFonts w:asciiTheme="minorHAnsi" w:hAnsiTheme="minorHAnsi" w:cstheme="minorHAnsi"/>
          <w:sz w:val="18"/>
          <w:szCs w:val="18"/>
        </w:rPr>
        <w:t>Przeznaczenie w planie zago</w:t>
      </w:r>
      <w:r w:rsidRPr="00483093">
        <w:rPr>
          <w:rFonts w:asciiTheme="minorHAnsi" w:hAnsiTheme="minorHAnsi" w:cstheme="minorHAnsi"/>
          <w:sz w:val="18"/>
          <w:szCs w:val="18"/>
        </w:rPr>
        <w:t>spoda</w:t>
      </w:r>
      <w:r w:rsidRPr="00FE1573">
        <w:rPr>
          <w:rFonts w:asciiTheme="minorHAnsi" w:hAnsiTheme="minorHAnsi" w:cstheme="minorHAnsi"/>
          <w:sz w:val="18"/>
          <w:szCs w:val="18"/>
        </w:rPr>
        <w:t>rowania przestrzennego gm. Brody:</w:t>
      </w:r>
      <w:r w:rsidR="005602F0">
        <w:rPr>
          <w:rFonts w:asciiTheme="minorHAnsi" w:hAnsiTheme="minorHAnsi" w:cstheme="minorHAnsi"/>
          <w:sz w:val="18"/>
          <w:szCs w:val="18"/>
        </w:rPr>
        <w:t xml:space="preserve"> </w:t>
      </w:r>
      <w:r w:rsidRPr="00FE1573">
        <w:rPr>
          <w:rFonts w:asciiTheme="minorHAnsi" w:hAnsiTheme="minorHAnsi" w:cstheme="minorHAnsi"/>
          <w:sz w:val="18"/>
          <w:szCs w:val="18"/>
        </w:rPr>
        <w:t>teren istniejących obiektów kubaturowych, dróg, urządzeń sieciowych przemysłu zbrojeniowego, położonych na obszarze lasu komunalnego gminy Brody. Teren ten przeznacza się dla prowadzenia różnorodnej działalności gospodarczej.</w:t>
      </w:r>
      <w:r w:rsidRPr="00FE1573">
        <w:rPr>
          <w:rFonts w:ascii="Calibri" w:hAnsi="Calibri"/>
          <w:sz w:val="18"/>
          <w:szCs w:val="18"/>
        </w:rPr>
        <w:t xml:space="preserve"> Możliwe jest przystosowanie obiektów dla celów produkcyjnych, magazynowych, hurtowni, handlu hurtowego, różnego rodzaju baz, itp. Zakłada się możliwość stworzenia uprzywilejowanych stref ekonomicznych. Przy zagospodarowaniu obiektów należy doprowadzić do pełnej sprawności urządzenia i sieci uzbrojenia terenu oraz układ komunikacyjny. Dopuszczalna jest rozbudowa, dobudowa i modernizacja obiektów istniejących oraz budowa obiektów nowych jako uzupełnienia. Budowa drogi zbiorczej według uzgodnienia DODP.</w:t>
      </w:r>
      <w:r>
        <w:rPr>
          <w:rFonts w:ascii="Calibri" w:hAnsi="Calibri"/>
          <w:sz w:val="18"/>
          <w:szCs w:val="18"/>
        </w:rPr>
        <w:t xml:space="preserve"> </w:t>
      </w:r>
      <w:r w:rsidRPr="00FE1573">
        <w:rPr>
          <w:rFonts w:ascii="Calibri" w:hAnsi="Calibri"/>
          <w:sz w:val="18"/>
          <w:szCs w:val="18"/>
        </w:rPr>
        <w:t>Powyższe zamierzenia inwestycyjne realizować</w:t>
      </w:r>
      <w:r>
        <w:rPr>
          <w:rFonts w:ascii="Calibri" w:hAnsi="Calibri"/>
          <w:sz w:val="18"/>
          <w:szCs w:val="18"/>
        </w:rPr>
        <w:t xml:space="preserve"> można</w:t>
      </w:r>
      <w:r w:rsidRPr="00FE1573">
        <w:rPr>
          <w:rFonts w:ascii="Calibri" w:hAnsi="Calibri"/>
          <w:sz w:val="18"/>
          <w:szCs w:val="18"/>
        </w:rPr>
        <w:t xml:space="preserve"> na obszarach posiadających zgodę Wojewody Zielonogórskiego Nr GG-III-6014b-13/98 z dnia 1998-05-04 na przeznaczenie gruntów leśnych na cele nieleśne o powierzchni </w:t>
      </w:r>
      <w:smartTag w:uri="urn:schemas-microsoft-com:office:smarttags" w:element="metricconverter">
        <w:smartTagPr>
          <w:attr w:name="ProductID" w:val="216 ha"/>
        </w:smartTagPr>
        <w:r w:rsidRPr="00FE1573">
          <w:rPr>
            <w:rFonts w:ascii="Calibri" w:hAnsi="Calibri"/>
            <w:sz w:val="18"/>
            <w:szCs w:val="18"/>
          </w:rPr>
          <w:t>216 ha</w:t>
        </w:r>
      </w:smartTag>
      <w:r w:rsidRPr="00FE1573">
        <w:rPr>
          <w:rFonts w:ascii="Calibri" w:hAnsi="Calibri"/>
          <w:sz w:val="18"/>
          <w:szCs w:val="18"/>
        </w:rPr>
        <w:t>.</w:t>
      </w:r>
      <w:r w:rsidRPr="00B60083">
        <w:rPr>
          <w:rFonts w:ascii="Calibri" w:hAnsi="Calibri"/>
          <w:sz w:val="18"/>
          <w:szCs w:val="18"/>
        </w:rPr>
        <w:t xml:space="preserve"> </w:t>
      </w:r>
      <w:r w:rsidRPr="00FE1573">
        <w:rPr>
          <w:rFonts w:ascii="Calibri" w:hAnsi="Calibri"/>
          <w:sz w:val="18"/>
          <w:szCs w:val="18"/>
        </w:rPr>
        <w:t>Przedmiotowa działka leży na obszarze posiadającym zgodę Wojewody Zielonogórskiego na przeznaczenie gruntów leśnych na cele nieleśne</w:t>
      </w:r>
      <w:r>
        <w:rPr>
          <w:rFonts w:ascii="Calibri" w:hAnsi="Calibri"/>
          <w:sz w:val="18"/>
          <w:szCs w:val="18"/>
        </w:rPr>
        <w:t>.</w:t>
      </w:r>
    </w:p>
    <w:p w:rsidR="001A3293" w:rsidRPr="00FE1573" w:rsidRDefault="001A3293" w:rsidP="001A3293">
      <w:pPr>
        <w:jc w:val="both"/>
        <w:rPr>
          <w:rFonts w:ascii="Calibri" w:hAnsi="Calibri"/>
          <w:sz w:val="18"/>
          <w:szCs w:val="18"/>
        </w:rPr>
      </w:pPr>
      <w:r w:rsidRPr="00FE1573">
        <w:rPr>
          <w:rFonts w:ascii="Calibri" w:hAnsi="Calibri"/>
          <w:sz w:val="18"/>
          <w:szCs w:val="18"/>
        </w:rPr>
        <w:t>Do ustalonej ostatecznie wartości nieruchomości na podstawie ustawy z dnia 11.03.2004 r. o podatku od towarów i usług (</w:t>
      </w:r>
      <w:proofErr w:type="spellStart"/>
      <w:r w:rsidR="0025265B">
        <w:rPr>
          <w:rFonts w:ascii="Calibri" w:hAnsi="Calibri"/>
          <w:sz w:val="18"/>
          <w:szCs w:val="18"/>
        </w:rPr>
        <w:t>T.j</w:t>
      </w:r>
      <w:proofErr w:type="spellEnd"/>
      <w:r w:rsidR="0025265B">
        <w:rPr>
          <w:rFonts w:ascii="Calibri" w:hAnsi="Calibri"/>
          <w:sz w:val="18"/>
          <w:szCs w:val="18"/>
        </w:rPr>
        <w:t xml:space="preserve">. </w:t>
      </w:r>
      <w:r w:rsidRPr="00FE1573">
        <w:rPr>
          <w:rFonts w:ascii="Calibri" w:hAnsi="Calibri"/>
          <w:sz w:val="18"/>
          <w:szCs w:val="18"/>
        </w:rPr>
        <w:t xml:space="preserve">Dz. U. </w:t>
      </w:r>
      <w:r w:rsidR="0025265B">
        <w:rPr>
          <w:rFonts w:ascii="Calibri" w:hAnsi="Calibri"/>
          <w:sz w:val="18"/>
          <w:szCs w:val="18"/>
        </w:rPr>
        <w:t xml:space="preserve">z 2011 </w:t>
      </w:r>
      <w:r w:rsidRPr="00FE1573">
        <w:rPr>
          <w:rFonts w:ascii="Calibri" w:hAnsi="Calibri"/>
          <w:sz w:val="18"/>
          <w:szCs w:val="18"/>
        </w:rPr>
        <w:t xml:space="preserve">Nr </w:t>
      </w:r>
      <w:r w:rsidR="0025265B">
        <w:rPr>
          <w:rFonts w:ascii="Calibri" w:hAnsi="Calibri"/>
          <w:sz w:val="18"/>
          <w:szCs w:val="18"/>
        </w:rPr>
        <w:t>177</w:t>
      </w:r>
      <w:r w:rsidRPr="00FE1573">
        <w:rPr>
          <w:rFonts w:ascii="Calibri" w:hAnsi="Calibri"/>
          <w:sz w:val="18"/>
          <w:szCs w:val="18"/>
        </w:rPr>
        <w:t>, poz.</w:t>
      </w:r>
      <w:r w:rsidR="0025265B">
        <w:rPr>
          <w:rFonts w:ascii="Calibri" w:hAnsi="Calibri"/>
          <w:sz w:val="18"/>
          <w:szCs w:val="18"/>
        </w:rPr>
        <w:t>1054</w:t>
      </w:r>
      <w:r w:rsidRPr="00FE1573">
        <w:rPr>
          <w:rFonts w:ascii="Calibri" w:hAnsi="Calibri"/>
          <w:sz w:val="18"/>
          <w:szCs w:val="18"/>
        </w:rPr>
        <w:t xml:space="preserve"> z późn.zm.) naliczony zostanie 23 % podatek VAT, o który powiększona zostanie cena sprzedaży. Do ceny zakupu nieruchomości dolicza się koszty dokumentacji</w:t>
      </w:r>
      <w:r w:rsidR="00076065">
        <w:rPr>
          <w:rFonts w:ascii="Calibri" w:hAnsi="Calibri"/>
          <w:sz w:val="18"/>
          <w:szCs w:val="18"/>
        </w:rPr>
        <w:t xml:space="preserve"> i wyceny w wysokości: </w:t>
      </w:r>
      <w:r w:rsidR="00A179D7">
        <w:rPr>
          <w:rFonts w:ascii="Calibri" w:hAnsi="Calibri"/>
          <w:sz w:val="18"/>
          <w:szCs w:val="18"/>
        </w:rPr>
        <w:t xml:space="preserve">6.211,50 </w:t>
      </w:r>
      <w:r w:rsidRPr="00FE1573">
        <w:rPr>
          <w:rFonts w:ascii="Calibri" w:hAnsi="Calibri"/>
          <w:sz w:val="18"/>
          <w:szCs w:val="18"/>
        </w:rPr>
        <w:t>zł brutto.</w:t>
      </w:r>
    </w:p>
    <w:p w:rsidR="00076065" w:rsidRDefault="00076065" w:rsidP="001A3293">
      <w:pPr>
        <w:jc w:val="both"/>
        <w:rPr>
          <w:rFonts w:ascii="Calibri" w:hAnsi="Calibri"/>
          <w:sz w:val="18"/>
          <w:szCs w:val="18"/>
        </w:rPr>
      </w:pPr>
      <w:r>
        <w:rPr>
          <w:rFonts w:ascii="Calibri" w:hAnsi="Calibri"/>
          <w:sz w:val="18"/>
          <w:szCs w:val="18"/>
        </w:rPr>
        <w:t xml:space="preserve">Nieruchomość jest </w:t>
      </w:r>
      <w:r w:rsidR="001A3293" w:rsidRPr="00B60083">
        <w:rPr>
          <w:rFonts w:ascii="Calibri" w:hAnsi="Calibri"/>
          <w:sz w:val="18"/>
          <w:szCs w:val="18"/>
        </w:rPr>
        <w:t>nie</w:t>
      </w:r>
      <w:r>
        <w:rPr>
          <w:rFonts w:ascii="Calibri" w:hAnsi="Calibri"/>
          <w:sz w:val="18"/>
          <w:szCs w:val="18"/>
        </w:rPr>
        <w:t xml:space="preserve">uzbrojona oraz jest wolna </w:t>
      </w:r>
      <w:r w:rsidR="001A3293" w:rsidRPr="00B60083">
        <w:rPr>
          <w:rFonts w:ascii="Calibri" w:hAnsi="Calibri"/>
          <w:sz w:val="18"/>
          <w:szCs w:val="18"/>
        </w:rPr>
        <w:t xml:space="preserve">od obciążeń i zobowiązań. </w:t>
      </w:r>
    </w:p>
    <w:p w:rsidR="00076065" w:rsidRPr="00B40774" w:rsidRDefault="001A3293" w:rsidP="001A3293">
      <w:pPr>
        <w:jc w:val="both"/>
        <w:rPr>
          <w:rFonts w:ascii="Calibri" w:hAnsi="Calibri"/>
          <w:sz w:val="18"/>
          <w:szCs w:val="18"/>
          <w:u w:val="single"/>
        </w:rPr>
      </w:pPr>
      <w:r w:rsidRPr="00FE1573">
        <w:rPr>
          <w:rFonts w:ascii="Calibri" w:hAnsi="Calibri"/>
          <w:sz w:val="18"/>
          <w:szCs w:val="18"/>
          <w:u w:val="single"/>
        </w:rPr>
        <w:t>Wójt Gminy B</w:t>
      </w:r>
      <w:r w:rsidR="00076065">
        <w:rPr>
          <w:rFonts w:ascii="Calibri" w:hAnsi="Calibri"/>
          <w:sz w:val="18"/>
          <w:szCs w:val="18"/>
          <w:u w:val="single"/>
        </w:rPr>
        <w:t>rody oświadcza, że na zbywanej nieruchomości</w:t>
      </w:r>
      <w:r w:rsidRPr="00FE1573">
        <w:rPr>
          <w:rFonts w:ascii="Calibri" w:hAnsi="Calibri"/>
          <w:sz w:val="18"/>
          <w:szCs w:val="18"/>
          <w:u w:val="single"/>
        </w:rPr>
        <w:t xml:space="preserve"> nie przeprowadzono badań pod kątem zanieczyszczenia materiałami chemicznymi oraz wybuchami. W związku z </w:t>
      </w:r>
      <w:r w:rsidRPr="00483093">
        <w:rPr>
          <w:rFonts w:ascii="Calibri" w:hAnsi="Calibri"/>
          <w:sz w:val="18"/>
          <w:szCs w:val="18"/>
          <w:u w:val="single"/>
        </w:rPr>
        <w:t xml:space="preserve">tym </w:t>
      </w:r>
      <w:r w:rsidRPr="00FE1573">
        <w:rPr>
          <w:rFonts w:ascii="Calibri" w:hAnsi="Calibri"/>
          <w:sz w:val="18"/>
          <w:szCs w:val="18"/>
          <w:u w:val="single"/>
        </w:rPr>
        <w:t>na nieruchomości występuje konieczność wykonania takich działań przez nabywcę na własny koszt i na własne ryzyko. Jednocześnie Wójt Gminy Brody oświadcza, że Gmina nie będzie ponosić odpowiedzialności za powyższe wady z tytułu rękojmi. Teren stanowi potencjalne (trudne do określenia) zagrożenie dla zdrowia i życia ludzi.</w:t>
      </w:r>
    </w:p>
    <w:p w:rsidR="00556999" w:rsidRPr="00B40774" w:rsidRDefault="001A3293" w:rsidP="001A3293">
      <w:pPr>
        <w:jc w:val="both"/>
        <w:rPr>
          <w:rFonts w:ascii="Calibri" w:hAnsi="Calibri"/>
          <w:b/>
          <w:sz w:val="18"/>
          <w:szCs w:val="18"/>
        </w:rPr>
      </w:pPr>
      <w:r w:rsidRPr="00FE1573">
        <w:rPr>
          <w:rFonts w:ascii="Calibri" w:hAnsi="Calibri"/>
          <w:sz w:val="18"/>
          <w:szCs w:val="18"/>
        </w:rPr>
        <w:t>W przetargu mogą brać udział osoby fizyczne i prawne. W przypadku nabycia nieruchomości przez cudzoziemców mają zastosowanie przepisy ustawy z dnia 24 marca 1920 r. o nabywaniu nieruchomości przez cudzoziemców (</w:t>
      </w:r>
      <w:proofErr w:type="spellStart"/>
      <w:r w:rsidRPr="00FE1573">
        <w:rPr>
          <w:rFonts w:ascii="Calibri" w:hAnsi="Calibri"/>
          <w:sz w:val="18"/>
          <w:szCs w:val="18"/>
        </w:rPr>
        <w:t>T.j</w:t>
      </w:r>
      <w:proofErr w:type="spellEnd"/>
      <w:r w:rsidRPr="00FE1573">
        <w:rPr>
          <w:rFonts w:ascii="Calibri" w:hAnsi="Calibri"/>
          <w:sz w:val="18"/>
          <w:szCs w:val="18"/>
        </w:rPr>
        <w:t>. Dz. U. z 2004 r. Nr 167, poz. 1758</w:t>
      </w:r>
      <w:r w:rsidR="003B3A24">
        <w:rPr>
          <w:rFonts w:ascii="Calibri" w:hAnsi="Calibri"/>
          <w:sz w:val="18"/>
          <w:szCs w:val="18"/>
        </w:rPr>
        <w:t xml:space="preserve"> z późn.zm.</w:t>
      </w:r>
      <w:r w:rsidRPr="00FE1573">
        <w:rPr>
          <w:rFonts w:ascii="Calibri" w:hAnsi="Calibri"/>
          <w:sz w:val="18"/>
          <w:szCs w:val="18"/>
        </w:rPr>
        <w:t>).</w:t>
      </w:r>
      <w:r w:rsidRPr="00B60083">
        <w:rPr>
          <w:rFonts w:ascii="Calibri" w:hAnsi="Calibri"/>
          <w:b/>
          <w:sz w:val="18"/>
          <w:szCs w:val="18"/>
        </w:rPr>
        <w:t xml:space="preserve"> </w:t>
      </w:r>
      <w:r w:rsidRPr="00FE1573">
        <w:rPr>
          <w:rFonts w:ascii="Calibri" w:hAnsi="Calibri"/>
          <w:sz w:val="18"/>
          <w:szCs w:val="18"/>
        </w:rPr>
        <w:t>Osoba fizyczna uczestnicząca w przetargu musi okazać dowód wpłaty wadium oraz dowód tożsamości, a osoba reprezentująca w przetargu osobę prawną musi okazać się stosownym pełnomocnictwem oraz okazać wypis z rejestru sądowego lub ewidencji działalności gospodarczej. W przypadku małżonków do dokonania czynności przetargowych konieczna jest obecność obojga małżonków lub jednego z nich ze stosownym oświadczeniem współmałżonka, zawierającym dodatkowo zgodę na odpłatne nabycie nieruchomości.</w:t>
      </w:r>
    </w:p>
    <w:p w:rsidR="001A3293" w:rsidRPr="00006130" w:rsidRDefault="001A3293" w:rsidP="001A3293">
      <w:pPr>
        <w:jc w:val="both"/>
        <w:rPr>
          <w:rFonts w:ascii="Calibri" w:hAnsi="Calibri"/>
          <w:sz w:val="18"/>
          <w:szCs w:val="18"/>
        </w:rPr>
      </w:pPr>
      <w:r w:rsidRPr="00FE1573">
        <w:rPr>
          <w:rFonts w:ascii="Calibri" w:hAnsi="Calibri"/>
          <w:sz w:val="18"/>
          <w:szCs w:val="18"/>
        </w:rPr>
        <w:t xml:space="preserve">Wadium w podanej wysokości i terminie należy wnosić w kasie Urzędu Gminy w Brodach pokój nr </w:t>
      </w:r>
      <w:r w:rsidR="00DF6224">
        <w:rPr>
          <w:rFonts w:ascii="Calibri" w:hAnsi="Calibri"/>
          <w:sz w:val="18"/>
          <w:szCs w:val="18"/>
        </w:rPr>
        <w:t>1</w:t>
      </w:r>
      <w:r w:rsidRPr="00FE1573">
        <w:rPr>
          <w:rFonts w:ascii="Calibri" w:hAnsi="Calibri"/>
          <w:sz w:val="18"/>
          <w:szCs w:val="18"/>
        </w:rPr>
        <w:t xml:space="preserve"> do godz. 14.00 lub na konto BZ WBK o/Lubsko Nr 22109015640000000056001658. Wadium powinno wpłynąć na konto w wyznaczonym terminie, upoważnia ono do czynnego uczestnictwa w przetargu tylko na działkę wymienioną w dowodzie wpłaty. W przypadku wpłacenia </w:t>
      </w:r>
      <w:r w:rsidRPr="00006130">
        <w:rPr>
          <w:rFonts w:ascii="Calibri" w:hAnsi="Calibri"/>
          <w:sz w:val="18"/>
          <w:szCs w:val="18"/>
        </w:rPr>
        <w:t>wadium w formie przelewu bankowego, wpłata winna być dokonana odpowied</w:t>
      </w:r>
      <w:r w:rsidR="00DE4FC0" w:rsidRPr="00006130">
        <w:rPr>
          <w:rFonts w:ascii="Calibri" w:hAnsi="Calibri"/>
          <w:sz w:val="18"/>
          <w:szCs w:val="18"/>
        </w:rPr>
        <w:t xml:space="preserve">nio wcześniej, tak aby </w:t>
      </w:r>
      <w:r w:rsidR="00556999" w:rsidRPr="00006130">
        <w:rPr>
          <w:rFonts w:ascii="Calibri" w:hAnsi="Calibri"/>
          <w:sz w:val="18"/>
          <w:szCs w:val="18"/>
        </w:rPr>
        <w:t xml:space="preserve">w dniu </w:t>
      </w:r>
      <w:r w:rsidR="003A31FA">
        <w:rPr>
          <w:rFonts w:ascii="Calibri" w:hAnsi="Calibri"/>
          <w:sz w:val="18"/>
          <w:szCs w:val="18"/>
        </w:rPr>
        <w:t>06</w:t>
      </w:r>
      <w:r w:rsidR="00D91AFA" w:rsidRPr="00006130">
        <w:rPr>
          <w:rFonts w:ascii="Calibri" w:hAnsi="Calibri"/>
          <w:sz w:val="18"/>
          <w:szCs w:val="18"/>
        </w:rPr>
        <w:t>.0</w:t>
      </w:r>
      <w:r w:rsidR="003A31FA">
        <w:rPr>
          <w:rFonts w:ascii="Calibri" w:hAnsi="Calibri"/>
          <w:sz w:val="18"/>
          <w:szCs w:val="18"/>
        </w:rPr>
        <w:t>8</w:t>
      </w:r>
      <w:r w:rsidR="00E810CB">
        <w:rPr>
          <w:rFonts w:ascii="Calibri" w:hAnsi="Calibri"/>
          <w:sz w:val="18"/>
          <w:szCs w:val="18"/>
        </w:rPr>
        <w:t>.2014</w:t>
      </w:r>
      <w:r w:rsidRPr="00006130">
        <w:rPr>
          <w:rFonts w:ascii="Calibri" w:hAnsi="Calibri"/>
          <w:sz w:val="18"/>
          <w:szCs w:val="18"/>
        </w:rPr>
        <w:t xml:space="preserve"> r. wadium znajdowało się na rachunku organizatora przetargu.</w:t>
      </w:r>
    </w:p>
    <w:p w:rsidR="001A3293" w:rsidRPr="00FE1573" w:rsidRDefault="001A3293" w:rsidP="001A3293">
      <w:pPr>
        <w:jc w:val="both"/>
        <w:rPr>
          <w:rFonts w:ascii="Calibri" w:hAnsi="Calibri"/>
          <w:sz w:val="18"/>
          <w:szCs w:val="18"/>
        </w:rPr>
      </w:pPr>
      <w:r w:rsidRPr="00006130">
        <w:rPr>
          <w:rFonts w:ascii="Calibri" w:hAnsi="Calibri"/>
          <w:sz w:val="18"/>
          <w:szCs w:val="18"/>
        </w:rPr>
        <w:t>Uczestnikowi</w:t>
      </w:r>
      <w:r w:rsidRPr="00FE1573">
        <w:rPr>
          <w:rFonts w:ascii="Calibri" w:hAnsi="Calibri"/>
          <w:sz w:val="18"/>
          <w:szCs w:val="18"/>
        </w:rPr>
        <w:t xml:space="preserve">, który wygra przetarg wpłacone wadium zalicza się na poczet ceny nabycia nieruchomości. Pozostałym uczestnikom przetargu wadium zwraca się nie później niż przed upływem 3 dni od daty przetargu. Nabywca nieruchomości jest zobowiązany resztę ceny oraz koszty dokumentacji i wyceny zapłacić przed zawarciem umowy notarialnej. </w:t>
      </w:r>
      <w:r w:rsidRPr="00FE1573">
        <w:rPr>
          <w:rFonts w:ascii="Calibri" w:hAnsi="Calibri" w:cs="Arial"/>
          <w:sz w:val="18"/>
          <w:szCs w:val="18"/>
        </w:rPr>
        <w:t>Koszty notarialne i sądowe ponosi nabywca.</w:t>
      </w:r>
    </w:p>
    <w:p w:rsidR="001A3293" w:rsidRPr="00FE1573" w:rsidRDefault="001A3293" w:rsidP="001A3293">
      <w:pPr>
        <w:jc w:val="both"/>
        <w:rPr>
          <w:rFonts w:ascii="Calibri" w:hAnsi="Calibri"/>
          <w:sz w:val="18"/>
          <w:szCs w:val="18"/>
        </w:rPr>
      </w:pPr>
      <w:r w:rsidRPr="00FE1573">
        <w:rPr>
          <w:rFonts w:ascii="Calibri" w:hAnsi="Calibri"/>
          <w:sz w:val="18"/>
          <w:szCs w:val="18"/>
        </w:rPr>
        <w:t xml:space="preserve">Termin zawarcia umowy notarialnej ustalony zostanie najpóźniej w ciągu 21 dni od dnia rozstrzygnięcia przetargu. W przypadku uchylenia się nabywcy od zawarcia umowy w terminie ustalonym przez Wójta Gminy, wadium ulega przepadkowi na rzecz Gminy Brody. </w:t>
      </w:r>
    </w:p>
    <w:p w:rsidR="001A3293" w:rsidRPr="00DF6224" w:rsidRDefault="001A3293" w:rsidP="001A3293">
      <w:pPr>
        <w:tabs>
          <w:tab w:val="left" w:pos="1800"/>
          <w:tab w:val="left" w:pos="3060"/>
        </w:tabs>
        <w:jc w:val="both"/>
        <w:rPr>
          <w:rFonts w:ascii="Calibri" w:hAnsi="Calibri"/>
          <w:b/>
          <w:sz w:val="18"/>
          <w:szCs w:val="18"/>
        </w:rPr>
      </w:pPr>
      <w:r w:rsidRPr="00FE1573">
        <w:rPr>
          <w:rFonts w:ascii="Calibri" w:hAnsi="Calibri"/>
          <w:sz w:val="18"/>
          <w:szCs w:val="18"/>
        </w:rPr>
        <w:t>M</w:t>
      </w:r>
      <w:r w:rsidRPr="00B60083">
        <w:rPr>
          <w:rFonts w:ascii="Calibri" w:hAnsi="Calibri"/>
          <w:sz w:val="18"/>
          <w:szCs w:val="18"/>
        </w:rPr>
        <w:t>i</w:t>
      </w:r>
      <w:r w:rsidR="0033648C">
        <w:rPr>
          <w:rFonts w:ascii="Calibri" w:hAnsi="Calibri"/>
          <w:sz w:val="18"/>
          <w:szCs w:val="18"/>
        </w:rPr>
        <w:t>ejsce przeprowadzenia przetargu</w:t>
      </w:r>
      <w:r w:rsidRPr="00FE1573">
        <w:rPr>
          <w:rFonts w:ascii="Calibri" w:hAnsi="Calibri"/>
          <w:sz w:val="18"/>
          <w:szCs w:val="18"/>
        </w:rPr>
        <w:t xml:space="preserve">: </w:t>
      </w:r>
      <w:r w:rsidRPr="00DF6224">
        <w:rPr>
          <w:rFonts w:ascii="Calibri" w:hAnsi="Calibri"/>
          <w:b/>
          <w:sz w:val="18"/>
          <w:szCs w:val="18"/>
        </w:rPr>
        <w:t>Urząd Gmi</w:t>
      </w:r>
      <w:r w:rsidR="003B7EBF" w:rsidRPr="00DF6224">
        <w:rPr>
          <w:rFonts w:ascii="Calibri" w:hAnsi="Calibri"/>
          <w:b/>
          <w:sz w:val="18"/>
          <w:szCs w:val="18"/>
        </w:rPr>
        <w:t>ny Brody</w:t>
      </w:r>
      <w:r w:rsidR="003B7EBF">
        <w:rPr>
          <w:rFonts w:ascii="Calibri" w:hAnsi="Calibri"/>
          <w:sz w:val="18"/>
          <w:szCs w:val="18"/>
        </w:rPr>
        <w:t xml:space="preserve">, </w:t>
      </w:r>
      <w:r w:rsidR="00425A22">
        <w:rPr>
          <w:rFonts w:ascii="Calibri" w:hAnsi="Calibri"/>
          <w:sz w:val="18"/>
          <w:szCs w:val="18"/>
        </w:rPr>
        <w:t xml:space="preserve">tymczasowa siedziba: </w:t>
      </w:r>
      <w:r w:rsidR="003B7EBF" w:rsidRPr="00DF6224">
        <w:rPr>
          <w:rFonts w:ascii="Calibri" w:hAnsi="Calibri"/>
          <w:b/>
          <w:sz w:val="18"/>
          <w:szCs w:val="18"/>
        </w:rPr>
        <w:t xml:space="preserve">ul. </w:t>
      </w:r>
      <w:r w:rsidR="003A31FA" w:rsidRPr="00DF6224">
        <w:rPr>
          <w:rFonts w:ascii="Calibri" w:hAnsi="Calibri"/>
          <w:b/>
          <w:sz w:val="18"/>
          <w:szCs w:val="18"/>
        </w:rPr>
        <w:t>Kilińskiego 11</w:t>
      </w:r>
      <w:r w:rsidR="003B7EBF" w:rsidRPr="00DF6224">
        <w:rPr>
          <w:rFonts w:ascii="Calibri" w:hAnsi="Calibri"/>
          <w:b/>
          <w:sz w:val="18"/>
          <w:szCs w:val="18"/>
        </w:rPr>
        <w:t xml:space="preserve"> </w:t>
      </w:r>
      <w:r w:rsidR="00425A22" w:rsidRPr="00DF6224">
        <w:rPr>
          <w:rFonts w:ascii="Calibri" w:hAnsi="Calibri"/>
          <w:b/>
          <w:sz w:val="18"/>
          <w:szCs w:val="18"/>
        </w:rPr>
        <w:t xml:space="preserve">(budynek Gimnazjum) </w:t>
      </w:r>
      <w:r w:rsidR="003B7EBF" w:rsidRPr="00DF6224">
        <w:rPr>
          <w:rFonts w:ascii="Calibri" w:hAnsi="Calibri"/>
          <w:b/>
          <w:sz w:val="18"/>
          <w:szCs w:val="18"/>
        </w:rPr>
        <w:t xml:space="preserve">pokój nr </w:t>
      </w:r>
      <w:r w:rsidR="00425A22" w:rsidRPr="00DF6224">
        <w:rPr>
          <w:rFonts w:ascii="Calibri" w:hAnsi="Calibri"/>
          <w:b/>
          <w:sz w:val="18"/>
          <w:szCs w:val="18"/>
        </w:rPr>
        <w:t>3</w:t>
      </w:r>
      <w:r w:rsidRPr="00DF6224">
        <w:rPr>
          <w:rFonts w:ascii="Calibri" w:hAnsi="Calibri"/>
          <w:b/>
          <w:sz w:val="18"/>
          <w:szCs w:val="18"/>
        </w:rPr>
        <w:t>.</w:t>
      </w:r>
      <w:r w:rsidR="00494FAE" w:rsidRPr="00DF6224">
        <w:rPr>
          <w:rFonts w:ascii="Calibri" w:hAnsi="Calibri"/>
          <w:b/>
          <w:sz w:val="18"/>
          <w:szCs w:val="18"/>
        </w:rPr>
        <w:t xml:space="preserve"> o godz. 9:00</w:t>
      </w:r>
    </w:p>
    <w:p w:rsidR="001A3293" w:rsidRPr="00B60083" w:rsidRDefault="001A3293" w:rsidP="001A3293">
      <w:pPr>
        <w:jc w:val="both"/>
        <w:rPr>
          <w:rFonts w:ascii="Calibri" w:hAnsi="Calibri"/>
          <w:sz w:val="18"/>
          <w:szCs w:val="18"/>
        </w:rPr>
      </w:pPr>
      <w:r w:rsidRPr="00FE1573">
        <w:rPr>
          <w:rFonts w:ascii="Calibri" w:hAnsi="Calibri"/>
          <w:sz w:val="18"/>
          <w:szCs w:val="18"/>
        </w:rPr>
        <w:t>Przetarg może być odwołany z ważnych powodów. Bliższe informacje: Urząd Gminy Bro</w:t>
      </w:r>
      <w:r w:rsidRPr="00B60083">
        <w:rPr>
          <w:rFonts w:ascii="Calibri" w:hAnsi="Calibri"/>
          <w:sz w:val="18"/>
          <w:szCs w:val="18"/>
        </w:rPr>
        <w:t>dy, tel. (68)</w:t>
      </w:r>
      <w:r w:rsidR="003D6433">
        <w:rPr>
          <w:rFonts w:ascii="Calibri" w:hAnsi="Calibri"/>
          <w:sz w:val="18"/>
          <w:szCs w:val="18"/>
        </w:rPr>
        <w:t xml:space="preserve"> </w:t>
      </w:r>
      <w:r w:rsidRPr="00B60083">
        <w:rPr>
          <w:rFonts w:ascii="Calibri" w:hAnsi="Calibri"/>
          <w:sz w:val="18"/>
          <w:szCs w:val="18"/>
        </w:rPr>
        <w:t>3712</w:t>
      </w:r>
      <w:r w:rsidR="003D6433">
        <w:rPr>
          <w:rFonts w:ascii="Calibri" w:hAnsi="Calibri"/>
          <w:sz w:val="18"/>
          <w:szCs w:val="18"/>
        </w:rPr>
        <w:t>205</w:t>
      </w:r>
      <w:r w:rsidRPr="00B60083">
        <w:rPr>
          <w:rFonts w:ascii="Calibri" w:hAnsi="Calibri"/>
          <w:sz w:val="18"/>
          <w:szCs w:val="18"/>
        </w:rPr>
        <w:t xml:space="preserve"> pok.</w:t>
      </w:r>
      <w:r w:rsidR="00425A22">
        <w:rPr>
          <w:rFonts w:ascii="Calibri" w:hAnsi="Calibri"/>
          <w:sz w:val="18"/>
          <w:szCs w:val="18"/>
        </w:rPr>
        <w:t xml:space="preserve"> nr 2</w:t>
      </w:r>
      <w:r w:rsidRPr="00FE1573">
        <w:rPr>
          <w:rFonts w:ascii="Calibri" w:hAnsi="Calibri"/>
          <w:sz w:val="18"/>
          <w:szCs w:val="18"/>
        </w:rPr>
        <w:t>.</w:t>
      </w:r>
    </w:p>
    <w:p w:rsidR="003D6FD4" w:rsidRDefault="003D6FD4"/>
    <w:sectPr w:rsidR="003D6FD4" w:rsidSect="00E22E0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DB"/>
    <w:rsid w:val="00006130"/>
    <w:rsid w:val="00076065"/>
    <w:rsid w:val="001A1DF2"/>
    <w:rsid w:val="001A3293"/>
    <w:rsid w:val="00214AEF"/>
    <w:rsid w:val="00223CB8"/>
    <w:rsid w:val="0024754A"/>
    <w:rsid w:val="0025265B"/>
    <w:rsid w:val="00276820"/>
    <w:rsid w:val="0033471B"/>
    <w:rsid w:val="0033648C"/>
    <w:rsid w:val="0038517E"/>
    <w:rsid w:val="003A31FA"/>
    <w:rsid w:val="003B3A24"/>
    <w:rsid w:val="003B7EBF"/>
    <w:rsid w:val="003D4F21"/>
    <w:rsid w:val="003D6433"/>
    <w:rsid w:val="003D6FD4"/>
    <w:rsid w:val="0042060B"/>
    <w:rsid w:val="00425A22"/>
    <w:rsid w:val="004559DE"/>
    <w:rsid w:val="00494FAE"/>
    <w:rsid w:val="004D2C11"/>
    <w:rsid w:val="0055268E"/>
    <w:rsid w:val="00556999"/>
    <w:rsid w:val="005602F0"/>
    <w:rsid w:val="005B00B8"/>
    <w:rsid w:val="005B59C8"/>
    <w:rsid w:val="005C1D03"/>
    <w:rsid w:val="005C4898"/>
    <w:rsid w:val="005D0A2A"/>
    <w:rsid w:val="0062556A"/>
    <w:rsid w:val="00625D1F"/>
    <w:rsid w:val="006903EF"/>
    <w:rsid w:val="00722996"/>
    <w:rsid w:val="00825D56"/>
    <w:rsid w:val="00873268"/>
    <w:rsid w:val="00892751"/>
    <w:rsid w:val="008B0739"/>
    <w:rsid w:val="008B188C"/>
    <w:rsid w:val="008B42B1"/>
    <w:rsid w:val="008B610F"/>
    <w:rsid w:val="008D29D3"/>
    <w:rsid w:val="00905401"/>
    <w:rsid w:val="00992B5F"/>
    <w:rsid w:val="0099784B"/>
    <w:rsid w:val="009A56DB"/>
    <w:rsid w:val="009B3EF3"/>
    <w:rsid w:val="00A179D7"/>
    <w:rsid w:val="00AA17AB"/>
    <w:rsid w:val="00AC0F6F"/>
    <w:rsid w:val="00AE24CA"/>
    <w:rsid w:val="00B0545A"/>
    <w:rsid w:val="00B40774"/>
    <w:rsid w:val="00B53E88"/>
    <w:rsid w:val="00C05A06"/>
    <w:rsid w:val="00C6003D"/>
    <w:rsid w:val="00D7570D"/>
    <w:rsid w:val="00D816A0"/>
    <w:rsid w:val="00D91AFA"/>
    <w:rsid w:val="00DE4FC0"/>
    <w:rsid w:val="00DF6224"/>
    <w:rsid w:val="00E810CB"/>
    <w:rsid w:val="00ED68B3"/>
    <w:rsid w:val="00F14976"/>
    <w:rsid w:val="00FA2ACB"/>
    <w:rsid w:val="00FF6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293"/>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A3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293"/>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A3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770</Words>
  <Characters>4626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Młynek</dc:creator>
  <cp:lastModifiedBy>Sylwia Klepadło</cp:lastModifiedBy>
  <cp:revision>4</cp:revision>
  <cp:lastPrinted>2014-07-07T12:31:00Z</cp:lastPrinted>
  <dcterms:created xsi:type="dcterms:W3CDTF">2014-07-07T12:32:00Z</dcterms:created>
  <dcterms:modified xsi:type="dcterms:W3CDTF">2014-07-08T09:44:00Z</dcterms:modified>
</cp:coreProperties>
</file>